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机关运行经费安排情况说明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本单位2017年度机关运行经费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/>
          <w:sz w:val="32"/>
          <w:szCs w:val="32"/>
        </w:rPr>
        <w:t>万元，主要是商品和服务支出，包括办公及印刷费、邮电费、差旅费、会议费、福利费、日常维修费、专用材料及一般设备购置费、办公用房水电费、办公用房水电费、办公用房物业管理费、公务用车运行维护费及其他费用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。比2016年增加（减少）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/>
          <w:sz w:val="32"/>
          <w:szCs w:val="32"/>
        </w:rPr>
        <w:t>万元 ，增长（降低）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/>
          <w:sz w:val="32"/>
          <w:szCs w:val="32"/>
        </w:rPr>
        <w:t>%，主要原因是：区政府采购中心既不是行政单位，也不是参照公务员法管理的事业单位，无机关运行经费支出。</w:t>
      </w:r>
    </w:p>
    <w:p>
      <w:pPr>
        <w:spacing w:line="580" w:lineRule="exact"/>
        <w:ind w:firstLine="600"/>
        <w:rPr>
          <w:rFonts w:hint="eastAsia" w:ascii="仿宋_GB2312" w:hAnsi="宋体" w:eastAsia="仿宋_GB2312"/>
          <w:sz w:val="32"/>
          <w:szCs w:val="32"/>
        </w:rPr>
      </w:pP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angSong_GB2312">
    <w:altName w:val="仿宋_GB2312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D19"/>
    <w:rsid w:val="005A59D3"/>
    <w:rsid w:val="006078DB"/>
    <w:rsid w:val="006F0AD3"/>
    <w:rsid w:val="00A42D19"/>
    <w:rsid w:val="00B26D92"/>
    <w:rsid w:val="00C37C80"/>
    <w:rsid w:val="00CE1E8C"/>
    <w:rsid w:val="00D94E81"/>
    <w:rsid w:val="00FD6D39"/>
    <w:rsid w:val="094E5176"/>
    <w:rsid w:val="18A816C7"/>
    <w:rsid w:val="2A174541"/>
    <w:rsid w:val="44FB5C0B"/>
    <w:rsid w:val="4B17228A"/>
    <w:rsid w:val="4C1A294E"/>
    <w:rsid w:val="52754080"/>
    <w:rsid w:val="624F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7</Words>
  <Characters>41</Characters>
  <Lines>1</Lines>
  <Paragraphs>1</Paragraphs>
  <TotalTime>0</TotalTime>
  <ScaleCrop>false</ScaleCrop>
  <LinksUpToDate>false</LinksUpToDate>
  <CharactersWithSpaces>47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2017-11-10T03:12:00Z</dcterms:created>
  <dc:creator>Eric</dc:creator>
  <cp:lastModifiedBy>WPS_136610280</cp:lastModifiedBy>
  <dcterms:modified xsi:type="dcterms:W3CDTF">2017-11-10T06:20:34Z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