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附件3</w:t>
      </w:r>
    </w:p>
    <w:p>
      <w:pPr>
        <w:spacing w:line="560" w:lineRule="exact"/>
        <w:ind w:firstLine="640" w:firstLineChars="200"/>
        <w:rPr>
          <w:rFonts w:ascii="仿宋_GB2312" w:hAnsi="仿宋_GB231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突发地质灾害分级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1.特别重大地质灾害（Ⅰ级）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（1）因山体崩塌、滑坡、泥石流、地面塌陷等灾害造成30人以上死亡，或直接经济损失1000万元以上的突发地质灾害。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（2）受突发地质灾害威胁，需转移人数在500人以上，或可能造成的经济损失在3000万元以上的灾害险情。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（3）造成铁路繁忙干线、国家高速公路网线路、民航、航道等长时间中断，或特别严重威胁群众生命财产安全、有特别严重社会影响的突发地质灾害。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（4）因突发地质灾害造成深圳市主要河流被阻断，对群众生命财产安全造成特别重大影响。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2.重大地质灾害（Ⅱ级）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（1）因山体崩塌、滑坡、泥石流、地面塌陷等灾害造成10人以上、30人以下死亡，或直接经济损失500万元以上、1000万元以下的突发地质灾害。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（2）受突发地质灾害威胁，需转移人数在200人以上、500人以下，或可能造成的经济损失在1000万元以上、3000万元以下的灾害险情。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（3）造成铁路繁忙干线、国家高速公路网线路、民航、航道等较长时间中断，或严重威胁群众生命财产安全、有严重社会影响的突发地质灾害。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（4）因突发地质灾害造成深圳市主要河流被阻断，对群众生命财产安全造成重大影响。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3.较大地质灾害（Ⅲ级）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（1）因山体崩塌、滑坡、泥石流、地面塌陷等灾害造成3人以上、10人以下死亡，或直接经济损失100万元以上、500万元以下的突发地质灾害。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（2）受突发地质灾害威胁，需转移人数在50人以上、200人以下，或可能造成的经济损失在300万元以上、1000万元以下的灾害险情。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（3）造成铁路繁忙干线、国家高速公路网线路、民航、航道等短时中断，或较严重威胁群众生命财产安全、有较大社会影响的突发地质灾害。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（4）因突发地质灾害造成深圳市主要河流被阻断，对群众生命财产安全造成较大影响。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4.一般地质灾害（Ⅳ级）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（1）因山体崩塌、滑坡、泥石流、地面塌陷等灾害造成3人以下死亡，或直接经济损失100万元以下的突发地质灾害。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（2）受突发地质灾害威胁，需转移人数在50人以下，或可能造成的经济损失在300万元以下的灾害险情。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（3）造成交通运输中断，或威胁群众生命财产安全、有一定社会影响的突发地质灾害。</w:t>
      </w:r>
    </w:p>
    <w:p>
      <w:pPr>
        <w:pStyle w:val="3"/>
        <w:widowControl/>
        <w:spacing w:before="0" w:beforeAutospacing="0" w:after="0" w:afterAutospacing="0"/>
        <w:ind w:firstLine="640"/>
        <w:jc w:val="both"/>
        <w:rPr>
          <w:rFonts w:cs="仿宋_GB2312"/>
          <w:sz w:val="32"/>
          <w:szCs w:val="32"/>
        </w:rPr>
      </w:pPr>
      <w:r>
        <w:rPr>
          <w:rFonts w:hint="eastAsia" w:cs="仿宋_GB2312"/>
          <w:sz w:val="32"/>
          <w:szCs w:val="32"/>
        </w:rPr>
        <w:t>（4）因突发地质灾害造成深圳市主要河流被阻断，对群众生命财产安全造成一定影响。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ODAwZTIxMzFjZDc4NmFkNzY1ZjFhNDRmNjRiMTYifQ=="/>
  </w:docVars>
  <w:rsids>
    <w:rsidRoot w:val="4DAC1B1E"/>
    <w:rsid w:val="4DAC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napToGrid w:val="0"/>
      <w:spacing w:after="120" w:line="560" w:lineRule="exact"/>
      <w:ind w:firstLine="880" w:firstLineChars="200"/>
    </w:pPr>
    <w:rPr>
      <w:rFonts w:ascii="Times New Roman" w:hAnsi="Times New Roman"/>
      <w:szCs w:val="32"/>
    </w:rPr>
  </w:style>
  <w:style w:type="paragraph" w:styleId="3">
    <w:name w:val="Normal (Web)"/>
    <w:qFormat/>
    <w:uiPriority w:val="0"/>
    <w:pPr>
      <w:widowControl w:val="0"/>
      <w:spacing w:before="100" w:beforeAutospacing="1" w:after="100" w:afterAutospacing="1" w:line="560" w:lineRule="exact"/>
      <w:ind w:firstLine="883" w:firstLineChars="200"/>
    </w:pPr>
    <w:rPr>
      <w:rFonts w:ascii="仿宋_GB2312" w:hAnsi="仿宋_GB2312" w:eastAsia="仿宋_GB2312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2023-04-12T06:37:00Z</dcterms:created>
  <dc:creator>九河科技</dc:creator>
  <cp:lastModifiedBy>九河科技</cp:lastModifiedBy>
  <dcterms:modified xsi:type="dcterms:W3CDTF">2023-04-12T06:59:19Z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AB5324EB851D48EE95896BD04A44317D</vt:lpwstr>
  </property>
</Properties>
</file>